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Естественнонаучная картина мира</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«Естественнонаучная картина мира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«Естественнонаучная картина мира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27.8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ограничения их применимости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«Естественнонаучная картина мира »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Модуль 1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Учебная практика (общественно- педагогическая)</w:t>
            </w:r>
          </w:p>
          <w:p>
            <w:pPr>
              <w:jc w:val="center"/>
              <w:spacing w:after="0" w:line="240" w:lineRule="auto"/>
              <w:rPr>
                <w:sz w:val="22"/>
                <w:szCs w:val="22"/>
              </w:rPr>
            </w:pPr>
            <w:r>
              <w:rPr>
                <w:rFonts w:ascii="Times New Roman" w:hAnsi="Times New Roman" w:cs="Times New Roman"/>
                <w:color w:val="#000000"/>
                <w:sz w:val="22"/>
                <w:szCs w:val="22"/>
              </w:rPr>
              <w:t> Модуль  "Педагогические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Наука  и  ее  роль  в  обществе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материального  мира.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научного  познания.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жизни.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«Естественнонаучная картина мира »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Жидкова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http://www.iprbookshop.ru/87073.html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(ППСиИО)(23)_plx_Естественнонаучная картина мира </dc:title>
  <dc:creator>FastReport.NET</dc:creator>
</cp:coreProperties>
</file>